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ПРАВОПРИМЕНИТЕЛЬНОЙ ПРАКТИКИ </w:t>
      </w: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F02C6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F02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ПОЛУГОДИИ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02C6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F02C6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02C68" w:rsidRPr="00FC5815" w:rsidRDefault="00F02C68" w:rsidP="00F02C68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>Гидротехнические сооружения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№ 1108 за </w:t>
      </w:r>
      <w:proofErr w:type="spellStart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Ростехнадзором</w:t>
      </w:r>
      <w:proofErr w:type="spellEnd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закреплены функции по осуществлению федерального государственного надзора в области безопасности гидротехнических сооружений</w:t>
      </w:r>
      <w:proofErr w:type="gramEnd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судоходных и портовых гидротехнических сооружений) (далее – ГТС).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565E1A" wp14:editId="6E64E09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C68" w:rsidRPr="0022207F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количество организаций, эксплуатирующих ГТС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</w:t>
      </w:r>
      <w:proofErr w:type="spellStart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Корсаковск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spellEnd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Углегорского</w:t>
      </w:r>
      <w:proofErr w:type="spellEnd"/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Сахалинской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ГТС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от 2 ноября 2013 года «О классификации гидротехнических сооружений» относятся к следующим классам опасности: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 класс — 0 комплексов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II класс — 1 комплексов;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III класс — 5 комплексов;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IV класс — 3 комплекс.</w:t>
      </w:r>
    </w:p>
    <w:p w:rsidR="00F02C68" w:rsidRPr="003B2732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02C68" w:rsidRPr="00645CF2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24BB67" wp14:editId="743620A7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>
        <w:rPr>
          <w:rFonts w:ascii="Times New Roman" w:hAnsi="Times New Roman"/>
          <w:sz w:val="26"/>
          <w:szCs w:val="26"/>
        </w:rPr>
        <w:t>0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>
        <w:rPr>
          <w:rFonts w:ascii="Times New Roman" w:hAnsi="Times New Roman"/>
          <w:sz w:val="26"/>
          <w:szCs w:val="26"/>
        </w:rPr>
        <w:t>78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>
        <w:rPr>
          <w:rFonts w:ascii="Times New Roman" w:hAnsi="Times New Roman"/>
          <w:sz w:val="26"/>
          <w:szCs w:val="26"/>
        </w:rPr>
        <w:t>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F02C68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F02C68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A564C4" wp14:editId="3717B86D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02C68" w:rsidRPr="002126A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C68" w:rsidRPr="002E2E57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графиком декларирования в 2017 году утверждены и зарегистрированы  декларации безопасности:</w:t>
      </w:r>
    </w:p>
    <w:p w:rsidR="00F02C68" w:rsidRPr="002E2E57" w:rsidRDefault="00F02C68" w:rsidP="00F02C6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2E57">
        <w:rPr>
          <w:rFonts w:ascii="Times New Roman" w:hAnsi="Times New Roman"/>
          <w:sz w:val="24"/>
          <w:szCs w:val="24"/>
        </w:rPr>
        <w:t>ГТС водохранилища на р. Татарка, III класс</w:t>
      </w: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администрации муниципального образования «Холмский городской округ» (№ 17-17(00)0034-00-ВОД (зарегистрирована в органе надзора 2017-04-21) сроком на 4 года;</w:t>
      </w:r>
    </w:p>
    <w:p w:rsidR="00F02C68" w:rsidRPr="002E2E57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2E57">
        <w:rPr>
          <w:rFonts w:ascii="Times New Roman" w:hAnsi="Times New Roman"/>
          <w:sz w:val="24"/>
          <w:szCs w:val="24"/>
        </w:rPr>
        <w:t>ГТС водохранилища на р. Малка, IV класс,</w:t>
      </w: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администрации муниципального образования «Холмский городской округ» (№ 16-17(01)0003-21-ВОД (зарегистрирована в органе надзора 2017-03-09)).</w:t>
      </w:r>
    </w:p>
    <w:p w:rsidR="00F02C68" w:rsidRPr="0059667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полугодие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проведен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внеплановые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проверк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юридических лиц, занимающихся эксплуатацией гидротехнических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</w:t>
      </w:r>
      <w:r w:rsidRPr="00596675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r w:rsidRPr="00596675">
        <w:rPr>
          <w:rFonts w:ascii="Times New Roman" w:hAnsi="Times New Roman"/>
          <w:sz w:val="26"/>
          <w:szCs w:val="26"/>
        </w:rPr>
        <w:t xml:space="preserve"> 1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675">
        <w:rPr>
          <w:rFonts w:ascii="Times New Roman" w:hAnsi="Times New Roman"/>
          <w:sz w:val="26"/>
          <w:szCs w:val="26"/>
        </w:rPr>
        <w:t>с целью установления факта выполнения (невыполнения) ранее выданного предписания</w:t>
      </w:r>
      <w:r w:rsidRPr="005966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проверок выявлены и предписаны к устранению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норм и правил безопасности ГТС.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арушения, выявленные  в ходе проверок: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отсутствует утвержденная декларация безопасности гидротехнических сооружений;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проекта эксплуатации;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рабочей документации;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утвержденных критериев безопасности ГТС;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выхода воды на низовом откосе дамбы. </w:t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706457" wp14:editId="74C65616">
            <wp:extent cx="6315075" cy="26289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7D074" wp14:editId="4804A05F">
            <wp:extent cx="6276975" cy="2628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проведенных проверок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нарушения норм и правил безопасности ГТС к административной ответственности привлечены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. Сумма наложенных административных штрафов составила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464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рублей. </w:t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03F991" wp14:editId="4D8A12BB">
            <wp:extent cx="6238875" cy="2581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C5141E" wp14:editId="79A1A9D9">
            <wp:extent cx="6210300" cy="25812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A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BDA6A5" wp14:editId="17AEF377">
            <wp:extent cx="6210300" cy="258127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2C68" w:rsidRPr="00AC646F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C68" w:rsidRPr="00AC646F" w:rsidRDefault="00F02C68" w:rsidP="00F02C6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и проведения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Сахалинскому управлению Ростехнадзора.  проведены следующие мероприятия: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Сахалинским управлением Ростехнадзора (далее «управление») были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Владельцам ГТС и эксплуатирующим организациям было предписано: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соответствии с правилами эксплуатации создать паводковую комиссию, копию приказа направить в Сахалинское управление Ростехнадзора;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паводка выполнить осмотр всех сооружений, конструкций и механизмов, связанных с его пропуском, произвести опробование затворов, произвести необходимый ремонт, копию акта осмотра и перечень выявленных недостатков направить в управление;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Направить план мероприятий по безопасному приёму или пропуску паводковых вод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 в управление информацию и наличие финансовых резервов, материальных средств, достаточности таких средств;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необходимо обеспечить очистку сбросного канала от снега, во избежание заторов;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и во время его прохождения, усилить контроль над состоянием всех сооружений, конструкций и механизмов;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паводковый период не допускать превышения расчетного максимального подпорного уровня, при необходимости открывать донный водосброс;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Эксплуатировать ГТС в соответствии с согласованными правилами эксплуатации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направлять в управление информацию о ледовой обстановке и уровне воды на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информацию об обучении и аттестации специалистов и рабочих, связанных с эксплуатацией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акт о готовности сооружения к приёму и пропуску паводка, утвержденного руководителем (техническим руководителем) организации;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информацию о выполнение комплекса инженерно-технических мероприятий по углублению и расчистке русел рек, укреплению берегов, отсыпке дамб и дорог;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При возникновении угрозы аварийной ситуации, а так же при возникновении аварийной ситуации, незамедлительно проинформировать управление.</w:t>
      </w:r>
    </w:p>
    <w:p w:rsidR="00F02C68" w:rsidRPr="00AC646F" w:rsidRDefault="00F02C68" w:rsidP="00F02C68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Собственники и эксплуатирующие организации в соответствии с запросом Сахалинского управления Ростехнадзора, выполнили и направили: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Копию приказа о создании </w:t>
      </w:r>
      <w:proofErr w:type="spellStart"/>
      <w:r w:rsidRPr="00AC646F">
        <w:rPr>
          <w:sz w:val="26"/>
          <w:szCs w:val="26"/>
        </w:rPr>
        <w:t>противопаводковой</w:t>
      </w:r>
      <w:proofErr w:type="spellEnd"/>
      <w:r w:rsidRPr="00AC646F">
        <w:rPr>
          <w:sz w:val="26"/>
          <w:szCs w:val="26"/>
        </w:rPr>
        <w:t xml:space="preserve"> комиссии;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Собственниками и эксплуатирующими организациями были произведены осмотры всех сооружений, конструкций и механизмов, связанных с пропуском паводков, копии актов осмотров направлены в Сахалинское управление Ростехнадзора (далее «управление»);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Направлены планы мероприятий по безопасному приёму или пропуску паводковых вод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Усилен контроль над состоянием всех сооружений, конструкций и механизмов;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направляется в управление информация о ледовой обстановке и уровне воды на ГТС;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F02C68" w:rsidRPr="00AC646F" w:rsidRDefault="00F02C68" w:rsidP="00F02C68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Представитель управления еженедельно участвовал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ГТС, относящиеся к энергетическому комплексу имеют разрешения на эксплуатацию, техническое состояние определено как работоспособное и не представляет опасности для электроснабжения в паводковый период.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Поднадзорные ГТС </w:t>
      </w:r>
      <w:r w:rsidRPr="00AC646F">
        <w:rPr>
          <w:sz w:val="26"/>
          <w:szCs w:val="26"/>
          <w:lang w:val="en-US"/>
        </w:rPr>
        <w:t>I</w:t>
      </w:r>
      <w:r w:rsidRPr="00AC646F">
        <w:rPr>
          <w:sz w:val="26"/>
          <w:szCs w:val="26"/>
        </w:rPr>
        <w:t xml:space="preserve"> класса и </w:t>
      </w:r>
      <w:proofErr w:type="gramStart"/>
      <w:r w:rsidRPr="00AC646F">
        <w:rPr>
          <w:sz w:val="26"/>
          <w:szCs w:val="26"/>
        </w:rPr>
        <w:t>ГТС</w:t>
      </w:r>
      <w:proofErr w:type="gramEnd"/>
      <w:r w:rsidRPr="00AC646F">
        <w:rPr>
          <w:sz w:val="26"/>
          <w:szCs w:val="26"/>
        </w:rPr>
        <w:t xml:space="preserve"> на которых установлен режим постоянного государственного надзора отсутствуют.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proofErr w:type="gramStart"/>
      <w:r w:rsidRPr="00AC646F">
        <w:rPr>
          <w:sz w:val="26"/>
          <w:szCs w:val="26"/>
        </w:rPr>
        <w:t>Бесхозяйных</w:t>
      </w:r>
      <w:proofErr w:type="gramEnd"/>
      <w:r w:rsidRPr="00AC646F">
        <w:rPr>
          <w:sz w:val="26"/>
          <w:szCs w:val="26"/>
        </w:rPr>
        <w:t xml:space="preserve"> ГТС на территории Сахалинской области нет.</w:t>
      </w:r>
    </w:p>
    <w:p w:rsidR="00F02C68" w:rsidRPr="00AC646F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 xml:space="preserve">первого полугодия </w:t>
      </w:r>
      <w:r w:rsidRPr="00AC646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года Управление предоставляло  аналитическую информацию органам исполнительной власти, прокуратуры, в Дальневосточное бассейновое водное управление, МЧС России по Сахалинской области о состоянии безопасности гидротехнических сооружений. </w:t>
      </w:r>
    </w:p>
    <w:p w:rsidR="00F02C68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Сотрудники Управления участвуют  в совещаниях при Председателе Правительства Сахалинской области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C646F">
        <w:rPr>
          <w:rFonts w:ascii="Times New Roman" w:hAnsi="Times New Roman"/>
          <w:sz w:val="26"/>
          <w:szCs w:val="26"/>
        </w:rPr>
        <w:t>МЧС России по Сахалинской области.</w:t>
      </w:r>
    </w:p>
    <w:p w:rsidR="00F02C68" w:rsidRPr="00A53A1D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</w:t>
      </w:r>
      <w:r>
        <w:rPr>
          <w:rFonts w:ascii="Times New Roman" w:hAnsi="Times New Roman"/>
          <w:sz w:val="26"/>
          <w:szCs w:val="26"/>
        </w:rPr>
        <w:t>3</w:t>
      </w:r>
      <w:r w:rsidRPr="00AC646F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646F">
        <w:rPr>
          <w:rFonts w:ascii="Times New Roman" w:hAnsi="Times New Roman"/>
          <w:sz w:val="26"/>
          <w:szCs w:val="26"/>
        </w:rPr>
        <w:t>г.г</w:t>
      </w:r>
      <w:proofErr w:type="spellEnd"/>
      <w:r w:rsidRPr="00AC646F">
        <w:rPr>
          <w:rFonts w:ascii="Times New Roman" w:hAnsi="Times New Roman"/>
          <w:sz w:val="26"/>
          <w:szCs w:val="26"/>
        </w:rPr>
        <w:t>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F02C68" w:rsidRPr="00A53A1D" w:rsidRDefault="00F02C68" w:rsidP="00F02C68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0" w:name="_Toc478055554"/>
      <w:r w:rsidRPr="00A53A1D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0"/>
    </w:p>
    <w:p w:rsidR="00F02C68" w:rsidRPr="00A53A1D" w:rsidRDefault="00F02C68" w:rsidP="00F02C68">
      <w:pPr>
        <w:spacing w:after="0"/>
        <w:ind w:firstLine="709"/>
        <w:rPr>
          <w:sz w:val="26"/>
          <w:szCs w:val="26"/>
          <w:lang w:eastAsia="ru-RU"/>
        </w:rPr>
      </w:pPr>
    </w:p>
    <w:p w:rsidR="00F02C68" w:rsidRPr="00A53A1D" w:rsidRDefault="00F02C68" w:rsidP="00F02C6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Times New Roman" w:hAnsi="Times New Roman"/>
          <w:i/>
          <w:sz w:val="26"/>
          <w:szCs w:val="26"/>
          <w:lang w:eastAsia="ru-RU"/>
        </w:rPr>
        <w:t>В сфере надзора за безопасностью гидротехнических сооружений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:</w:t>
      </w:r>
    </w:p>
    <w:p w:rsidR="00F02C68" w:rsidRPr="00A53A1D" w:rsidRDefault="00F02C68" w:rsidP="00F02C6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-  Разработать типовую форму решения о консервации и (или) ликвидации гидротехнического сооружения;</w:t>
      </w:r>
    </w:p>
    <w:p w:rsidR="00F02C68" w:rsidRPr="00A53A1D" w:rsidRDefault="00F02C68" w:rsidP="00F02C6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-  Разработать форму акта обследования гидротехнического сооружения и его территории после осуществления мероприятий по консервации и (или) ликвидации;</w:t>
      </w:r>
    </w:p>
    <w:p w:rsidR="00CD4365" w:rsidRDefault="00CD4365" w:rsidP="00F02C68">
      <w:pPr>
        <w:pStyle w:val="3"/>
        <w:spacing w:before="0"/>
        <w:jc w:val="center"/>
        <w:rPr>
          <w:rFonts w:asciiTheme="minorHAnsi" w:eastAsiaTheme="minorHAnsi" w:hAnsiTheme="minorHAnsi" w:cstheme="minorBidi"/>
        </w:rPr>
      </w:pPr>
      <w:bookmarkStart w:id="1" w:name="_GoBack"/>
      <w:bookmarkEnd w:id="1"/>
    </w:p>
    <w:sectPr w:rsidR="00CD4365" w:rsidSect="00A53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A42"/>
    <w:rsid w:val="00167D7D"/>
    <w:rsid w:val="001945F7"/>
    <w:rsid w:val="002126A8"/>
    <w:rsid w:val="0022207F"/>
    <w:rsid w:val="00226AD1"/>
    <w:rsid w:val="0030610C"/>
    <w:rsid w:val="003125E0"/>
    <w:rsid w:val="003A209C"/>
    <w:rsid w:val="003B2732"/>
    <w:rsid w:val="004540C8"/>
    <w:rsid w:val="0053437E"/>
    <w:rsid w:val="005A1B57"/>
    <w:rsid w:val="005B3AD1"/>
    <w:rsid w:val="00645CF2"/>
    <w:rsid w:val="006B11C2"/>
    <w:rsid w:val="00721B73"/>
    <w:rsid w:val="007B1E25"/>
    <w:rsid w:val="007E2DE9"/>
    <w:rsid w:val="008948B0"/>
    <w:rsid w:val="008F45ED"/>
    <w:rsid w:val="00923116"/>
    <w:rsid w:val="00945CA3"/>
    <w:rsid w:val="00990FF9"/>
    <w:rsid w:val="009955DA"/>
    <w:rsid w:val="009A5645"/>
    <w:rsid w:val="009B4A42"/>
    <w:rsid w:val="00A53A1D"/>
    <w:rsid w:val="00A8766E"/>
    <w:rsid w:val="00AC646F"/>
    <w:rsid w:val="00AC7DC8"/>
    <w:rsid w:val="00AD24FD"/>
    <w:rsid w:val="00B24CF2"/>
    <w:rsid w:val="00B74BEE"/>
    <w:rsid w:val="00BD2999"/>
    <w:rsid w:val="00C11F0B"/>
    <w:rsid w:val="00C26881"/>
    <w:rsid w:val="00C81F21"/>
    <w:rsid w:val="00CD4365"/>
    <w:rsid w:val="00D51560"/>
    <w:rsid w:val="00E1566D"/>
    <w:rsid w:val="00E967BE"/>
    <w:rsid w:val="00F02C68"/>
    <w:rsid w:val="00F717AA"/>
    <w:rsid w:val="00F91E65"/>
    <w:rsid w:val="00FC5815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15"/>
          <c:y val="2.4464831804281339E-2"/>
        </c:manualLayout>
      </c:layout>
      <c:overlay val="0"/>
      <c:spPr>
        <a:noFill/>
        <a:ln w="25401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59"/>
          <c:y val="0.36112820759790415"/>
          <c:w val="0.38657410756517696"/>
          <c:h val="0.5505998099930771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—5 комплексов </c:v>
                </c:pt>
                <c:pt idx="3">
                  <c:v>IV класс — 3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5B9BD5">
                      <a:satMod val="103000"/>
                      <a:lumMod val="102000"/>
                      <a:tint val="94000"/>
                      <a:alpha val="99000"/>
                    </a:srgbClr>
                  </a:gs>
                  <a:gs pos="50000">
                    <a:srgbClr val="5B9BD5">
                      <a:satMod val="110000"/>
                      <a:lumMod val="100000"/>
                      <a:shade val="100000"/>
                    </a:srgbClr>
                  </a:gs>
                  <a:gs pos="100000">
                    <a:srgbClr val="5B9BD5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- 0</c:v>
                </c:pt>
                <c:pt idx="1">
                  <c:v>Пониженный - 7</c:v>
                </c:pt>
                <c:pt idx="2">
                  <c:v>Неудовлетворительный - 2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3.4496036832605229E-2"/>
          <c:y val="0.27700770077007708"/>
          <c:w val="0.92436323366555939"/>
          <c:h val="7.9572776175255322E-2"/>
        </c:manualLayout>
      </c:layout>
      <c:overlay val="0"/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54491831055055"/>
          <c:y val="8.21256038647343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76973353443945E-2"/>
          <c:y val="0.24101449275362324"/>
          <c:w val="0.95575666163901463"/>
          <c:h val="0.508339609722697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проверок в области гиротехнических сооружений с разбивкой по годам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493312"/>
        <c:axId val="284494848"/>
        <c:axId val="284330176"/>
      </c:bar3DChart>
      <c:catAx>
        <c:axId val="28449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494848"/>
        <c:crosses val="autoZero"/>
        <c:auto val="1"/>
        <c:lblAlgn val="ctr"/>
        <c:lblOffset val="100"/>
        <c:noMultiLvlLbl val="0"/>
      </c:catAx>
      <c:valAx>
        <c:axId val="2844948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493312"/>
        <c:crosses val="autoZero"/>
        <c:crossBetween val="between"/>
      </c:valAx>
      <c:serAx>
        <c:axId val="28433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84494848"/>
        <c:crosses val="autoZero"/>
      </c:ser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727109337577148"/>
          <c:y val="0.89437026893377469"/>
          <c:w val="0.36289355233310766"/>
          <c:h val="7.6644223819848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нарушений выявленных в ходе проверок в области гиротехнических сооружений с разбивкой по годам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255943348507851E-2"/>
          <c:y val="0.18800000000000028"/>
          <c:w val="0.95548811330298433"/>
          <c:h val="0.5658282197483948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нарушений выявленных в ходе проверок в области гиротехнических сооружений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58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608345902067E-3"/>
                  <c:y val="-0.228260869565217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18562082973793E-17"/>
                  <c:y val="-0.137808790161393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89992531421377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19859732980532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4300800"/>
        <c:axId val="284302336"/>
      </c:barChart>
      <c:catAx>
        <c:axId val="2843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302336"/>
        <c:crosses val="autoZero"/>
        <c:auto val="1"/>
        <c:lblAlgn val="ctr"/>
        <c:lblOffset val="100"/>
        <c:noMultiLvlLbl val="0"/>
      </c:catAx>
      <c:valAx>
        <c:axId val="284302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3008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юридических лиц, привлеченных к административной ответственности  с разбивкой по годам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391857506361405E-2"/>
          <c:y val="0.17342251950947604"/>
          <c:w val="0.95521628498727618"/>
          <c:h val="0.631808214608627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юридических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58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99757568479E-3"/>
                  <c:y val="-0.2913640110131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15759722684998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27112159421052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27732557800637E-16"/>
                  <c:y val="-0.19409887238482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4601728"/>
        <c:axId val="284611712"/>
      </c:barChart>
      <c:catAx>
        <c:axId val="28460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611712"/>
        <c:crosses val="autoZero"/>
        <c:auto val="1"/>
        <c:lblAlgn val="ctr"/>
        <c:lblOffset val="100"/>
        <c:noMultiLvlLbl val="0"/>
      </c:catAx>
      <c:valAx>
        <c:axId val="284611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60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должностных лиц, привлеченных к административной ответственности  с разбивкой по годам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должностных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63487E-5"/>
                  <c:y val="-0.155878393429603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671712622638038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5.89627219106836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49897750511254E-3"/>
                  <c:y val="-0.262979729009888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7917568"/>
        <c:axId val="287919104"/>
      </c:barChart>
      <c:catAx>
        <c:axId val="2879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919104"/>
        <c:crosses val="autoZero"/>
        <c:auto val="1"/>
        <c:lblAlgn val="ctr"/>
        <c:lblOffset val="100"/>
        <c:noMultiLvlLbl val="0"/>
      </c:catAx>
      <c:valAx>
        <c:axId val="287919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791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Сумма наложенных административных штрафов  с разбивкой по годам (тыс. руб.)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наложенных административных штрафов с разбивкой ппо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26076E-5"/>
                  <c:y val="-9.1917900844111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60358002341120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349693251533761E-3"/>
                  <c:y val="-6.38831585166245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349693251533761E-3"/>
                  <c:y val="-0.29742007341333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20</c:v>
                </c:pt>
                <c:pt idx="3">
                  <c:v>0</c:v>
                </c:pt>
                <c:pt idx="4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4777856"/>
        <c:axId val="287900800"/>
      </c:barChart>
      <c:catAx>
        <c:axId val="28477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900800"/>
        <c:crosses val="autoZero"/>
        <c:auto val="1"/>
        <c:lblAlgn val="ctr"/>
        <c:lblOffset val="100"/>
        <c:noMultiLvlLbl val="0"/>
      </c:catAx>
      <c:valAx>
        <c:axId val="287900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7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0DCA-3834-418E-95CF-4C30B940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Ivanova</cp:lastModifiedBy>
  <cp:revision>4</cp:revision>
  <dcterms:created xsi:type="dcterms:W3CDTF">2017-05-06T09:16:00Z</dcterms:created>
  <dcterms:modified xsi:type="dcterms:W3CDTF">2017-08-22T00:04:00Z</dcterms:modified>
</cp:coreProperties>
</file>